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Группа 1 года обучения.   Объединение «Занимательное черчение»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Группа 1 (15:35 – 17:55)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 xml:space="preserve"> 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Тема: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Стандартные сварные швы. Обозначение на чертежах стандартных сварных швов. Упрощения обозначений сварных швов.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Изображение и обозначение нестандартных сварных швов. Сборочный чертеж сварного соединения. Сборочный чертеж армированного изделия.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Задание для изучения: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Cs/>
          <w:color w:val="000000"/>
          <w:sz w:val="28"/>
          <w:szCs w:val="28"/>
          <w:lang w:eastAsia="ru-RU"/>
        </w:rPr>
        <w:t>1. Сварные соединения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Сварным соединением называется совокупность изделий, соединенных с помощью сварки. Сварка – процесс получения неразъемного соединения деталей путем направления металла, образующего в местах соединения сварной шов. Сварным швом называется шов, затвердевший после расплавления материала. Наибольшее распространение получили газовая, дуговая и контактная сварки.</w:t>
      </w:r>
    </w:p>
    <w:p w:rsidR="00D02CF3" w:rsidRPr="00D02CF3" w:rsidRDefault="00D02CF3" w:rsidP="00D02CF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429250" cy="1828800"/>
            <wp:effectExtent l="19050" t="0" r="0" b="0"/>
            <wp:docPr id="1" name="Рисунок 1" descr="C:\Users\1\Desktop\для сайта\по сайту\sat\images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по сайту\sat\images\clip_image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На изображении сварного шва различают лицевую и </w:t>
      </w: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оборотную стороны. За лицевую в одностороннем шве принимать сторону, с которой производится сварка; в двухстороннем шве с несимметричным скосом – сторону, с которой производится сварка основного шва; в двухстороннем шве с симметричным скосом – любую сторону.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Видимые сварные швы на чертеже изображают основной линией, не видимые – штриховой.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363075" cy="4305300"/>
            <wp:effectExtent l="19050" t="0" r="9525" b="0"/>
            <wp:docPr id="2" name="Рисунок 2" descr="C:\Users\1\Desktop\для сайта\по сайту\sat\images\nrrp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по сайту\sat\images\nrrp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tabs>
          <w:tab w:val="left" w:pos="1050"/>
        </w:tabs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86200" cy="1819275"/>
            <wp:effectExtent l="19050" t="0" r="0" b="0"/>
            <wp:docPr id="3" name="Рисунок 3" descr="C:\Users\1\Desktop\для сайта\по сайту\sat\images\clip_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по сайту\sat\images\clip_image0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D02CF3" w:rsidRPr="00D02CF3" w:rsidTr="00D02CF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02CF3" w:rsidRPr="00D02CF3" w:rsidRDefault="00D02CF3" w:rsidP="00D02CF3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Обозначение видимого шва  - </w:t>
            </w:r>
            <w:r w:rsidRPr="00D02CF3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eastAsia="ru-RU"/>
              </w:rPr>
              <w:t>над полкой;</w:t>
            </w:r>
          </w:p>
          <w:p w:rsidR="00D02CF3" w:rsidRPr="00D02CF3" w:rsidRDefault="00D02CF3" w:rsidP="00D02CF3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невидимого</w:t>
            </w:r>
            <w:proofErr w:type="gramEnd"/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 – </w:t>
            </w:r>
            <w:r w:rsidRPr="00D02CF3">
              <w:rPr>
                <w:rFonts w:ascii="Arial" w:eastAsia="Times New Roman" w:hAnsi="Arial" w:cs="Arial"/>
                <w:b/>
                <w:i/>
                <w:color w:val="000000"/>
                <w:sz w:val="28"/>
                <w:szCs w:val="28"/>
                <w:lang w:eastAsia="ru-RU"/>
              </w:rPr>
              <w:t>под полкой</w:t>
            </w:r>
          </w:p>
        </w:tc>
      </w:tr>
    </w:tbl>
    <w:p w:rsidR="00D02CF3" w:rsidRPr="00D02CF3" w:rsidRDefault="00D02CF3" w:rsidP="00D02CF3">
      <w:pPr>
        <w:tabs>
          <w:tab w:val="left" w:pos="1050"/>
        </w:tabs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ab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705225" cy="2181225"/>
            <wp:effectExtent l="19050" t="0" r="9525" b="0"/>
            <wp:docPr id="4" name="Рисунок 4" descr="C:\Users\1\Desktop\для сайта\по сайту\sat\images\clip_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сайта\по сайту\sat\images\clip_image00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CF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D02CF3" w:rsidRPr="00D02CF3" w:rsidTr="00D02CF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02CF3" w:rsidRPr="00D02CF3" w:rsidRDefault="00D02CF3" w:rsidP="00D02CF3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>Сварной  шов указывают односторонней стрелкой</w:t>
            </w:r>
          </w:p>
        </w:tc>
      </w:tr>
    </w:tbl>
    <w:p w:rsidR="00D02CF3" w:rsidRPr="00D02CF3" w:rsidRDefault="00D02CF3" w:rsidP="00D02CF3">
      <w:pPr>
        <w:tabs>
          <w:tab w:val="left" w:pos="1050"/>
        </w:tabs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895725" cy="1857375"/>
            <wp:effectExtent l="19050" t="0" r="9525" b="0"/>
            <wp:docPr id="5" name="Рисунок 5" descr="C:\Users\1\Desktop\для сайта\по сайту\sat\images\clip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сайта\по сайту\sat\images\clip_image00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6EBF" w:rsidRPr="00EF6EB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D02CF3" w:rsidRPr="00D02CF3" w:rsidTr="00D02CF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02CF3" w:rsidRPr="00D02CF3" w:rsidRDefault="00D02CF3" w:rsidP="00D02CF3">
            <w:pPr>
              <w:spacing w:before="30" w:after="30" w:line="360" w:lineRule="auto"/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t xml:space="preserve">Видимые одиночные сварочные точки не зависимо от способа сварки условно изображают знаком +, который выполняют основной </w:t>
            </w:r>
            <w:r w:rsidRPr="00D02CF3">
              <w:rPr>
                <w:rFonts w:ascii="Arial" w:eastAsia="Times New Roman" w:hAnsi="Arial" w:cs="Arial"/>
                <w:i/>
                <w:color w:val="000000"/>
                <w:sz w:val="28"/>
                <w:szCs w:val="28"/>
                <w:lang w:eastAsia="ru-RU"/>
              </w:rPr>
              <w:lastRenderedPageBreak/>
              <w:t>линией.</w:t>
            </w:r>
          </w:p>
          <w:p w:rsidR="00D02CF3" w:rsidRPr="00D02CF3" w:rsidRDefault="00D02CF3" w:rsidP="00D02CF3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02CF3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D02CF3" w:rsidRPr="00D02CF3" w:rsidRDefault="00D02CF3" w:rsidP="00D02CF3">
      <w:pPr>
        <w:tabs>
          <w:tab w:val="left" w:pos="1965"/>
        </w:tabs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ab/>
        <w:t xml:space="preserve">В зависимости от взаимного положения сварных деталей различают следующие виды сварных соединений: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стыковые (С)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– свариваемые детали соединяются по своим торцевым поверхностям;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угловые (У)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– свариваемые детали расположены под углом и соединяются по кромкам;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тавровые (Т)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– торец одной детали соединяется с боковой поверхностью другой;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proofErr w:type="spellStart"/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нахлесточные</w:t>
      </w:r>
      <w:proofErr w:type="spellEnd"/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 (Н)–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боковые поверхности соединяемых деталей частично перекрывают друг друга.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По своей протяженности сварные швы могут быть: </w:t>
      </w:r>
    </w:p>
    <w:p w:rsidR="00D02CF3" w:rsidRPr="00D02CF3" w:rsidRDefault="00D02CF3" w:rsidP="00D02CF3">
      <w:pPr>
        <w:tabs>
          <w:tab w:val="num" w:pos="1440"/>
        </w:tabs>
        <w:spacing w:before="100" w:beforeAutospacing="1" w:after="100" w:afterAutospacing="1" w:line="360" w:lineRule="auto"/>
        <w:ind w:left="144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D02CF3">
        <w:rPr>
          <w:rFonts w:ascii="Courier New" w:eastAsia="Courier New" w:hAnsi="Courier New" w:cs="Courier New"/>
          <w:color w:val="000000"/>
          <w:sz w:val="20"/>
          <w:szCs w:val="28"/>
          <w:lang w:eastAsia="ru-RU"/>
        </w:rPr>
        <w:t>o</w:t>
      </w:r>
      <w:proofErr w:type="spellEnd"/>
      <w:r w:rsidRPr="00D02CF3">
        <w:rPr>
          <w:rFonts w:ascii="Times New Roman" w:eastAsia="Courier New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непрерывные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 замкнутому контуру; </w:t>
      </w:r>
    </w:p>
    <w:p w:rsidR="00D02CF3" w:rsidRPr="00D02CF3" w:rsidRDefault="00D02CF3" w:rsidP="00D02CF3">
      <w:pPr>
        <w:tabs>
          <w:tab w:val="num" w:pos="1440"/>
        </w:tabs>
        <w:spacing w:before="100" w:beforeAutospacing="1" w:after="100" w:afterAutospacing="1" w:line="360" w:lineRule="auto"/>
        <w:ind w:left="144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D02CF3">
        <w:rPr>
          <w:rFonts w:ascii="Courier New" w:eastAsia="Courier New" w:hAnsi="Courier New" w:cs="Courier New"/>
          <w:color w:val="000000"/>
          <w:sz w:val="20"/>
          <w:szCs w:val="28"/>
          <w:lang w:eastAsia="ru-RU"/>
        </w:rPr>
        <w:t>o</w:t>
      </w:r>
      <w:proofErr w:type="spellEnd"/>
      <w:r w:rsidRPr="00D02CF3">
        <w:rPr>
          <w:rFonts w:ascii="Times New Roman" w:eastAsia="Courier New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по незамкнутому контуру; </w:t>
      </w:r>
    </w:p>
    <w:p w:rsidR="00D02CF3" w:rsidRPr="00D02CF3" w:rsidRDefault="00D02CF3" w:rsidP="00D02CF3">
      <w:pPr>
        <w:tabs>
          <w:tab w:val="num" w:pos="1440"/>
        </w:tabs>
        <w:spacing w:before="100" w:beforeAutospacing="1" w:after="100" w:afterAutospacing="1" w:line="360" w:lineRule="auto"/>
        <w:ind w:left="144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D02CF3">
        <w:rPr>
          <w:rFonts w:ascii="Courier New" w:eastAsia="Courier New" w:hAnsi="Courier New" w:cs="Courier New"/>
          <w:color w:val="000000"/>
          <w:sz w:val="20"/>
          <w:szCs w:val="28"/>
          <w:lang w:eastAsia="ru-RU"/>
        </w:rPr>
        <w:t>o</w:t>
      </w:r>
      <w:proofErr w:type="spellEnd"/>
      <w:r w:rsidRPr="00D02CF3">
        <w:rPr>
          <w:rFonts w:ascii="Times New Roman" w:eastAsia="Courier New" w:hAnsi="Times New Roman" w:cs="Times New Roman"/>
          <w:color w:val="000000"/>
          <w:sz w:val="14"/>
          <w:szCs w:val="14"/>
          <w:lang w:eastAsia="ru-RU"/>
        </w:rPr>
        <w:t xml:space="preserve">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прерывистыми.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Прерывистые швы имеют равные по длине проваренные участки с равными промежутками между ними.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При двухсторонней сварке, если заваренные участки расположены друг против друга, такой шов называется цепным, если участки чередуются, то шов называется шахматным.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29025" cy="1647825"/>
            <wp:effectExtent l="19050" t="0" r="9525" b="0"/>
            <wp:docPr id="7" name="Рисунок 7" descr="C:\Users\1\Desktop\для сайта\по сайту\sat\images\clip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сайта\по сайту\sat\images\clip_image01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8750" cy="5200650"/>
            <wp:effectExtent l="19050" t="0" r="0" b="0"/>
            <wp:docPr id="8" name="Рисунок 8" descr="C:\Users\1\Desktop\для сайта\по сайту\sat\images\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сайта\по сайту\sat\images\clip_image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Структура обозначения стандартных швов следующая: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629525" cy="2667000"/>
            <wp:effectExtent l="19050" t="0" r="9525" b="0"/>
            <wp:docPr id="9" name="Рисунок 9" descr="C:\Users\1\Desktop\для сайта\по сайту\sat\images\clip_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сайта\по сайту\sat\images\clip_image01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вспомогательные знаки (О – шов по замкнутой линии, 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–м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онтажный шов);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номер стандарта;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стандартное </w:t>
      </w:r>
      <w:proofErr w:type="spell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буквенно</w:t>
      </w:r>
      <w:proofErr w:type="spell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–цифровое обозначение шва;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стандартное условное обозначение способа сварки;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5.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вспомогательный знак ?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–т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реугольник размер катета шва;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6.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размер шва в 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мм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.;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7.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вспомогательные знаки (</w:t>
      </w:r>
      <w:proofErr w:type="spellStart"/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таб</w:t>
      </w:r>
      <w:proofErr w:type="spellEnd"/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);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8.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обозначение шероховатости поверхности шва; </w:t>
      </w:r>
    </w:p>
    <w:p w:rsidR="00D02CF3" w:rsidRPr="00D02CF3" w:rsidRDefault="00D02CF3" w:rsidP="00D02CF3">
      <w:pPr>
        <w:tabs>
          <w:tab w:val="num" w:pos="720"/>
        </w:tabs>
        <w:spacing w:before="100" w:beforeAutospacing="1" w:after="100" w:afterAutospacing="1" w:line="360" w:lineRule="auto"/>
        <w:ind w:left="720"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9.</w:t>
      </w:r>
      <w:r w:rsidRPr="00D02CF3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указание о контроле шва.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Вспомогательные знаки в обозначении шва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629150" cy="6438900"/>
            <wp:effectExtent l="19050" t="0" r="0" b="0"/>
            <wp:docPr id="10" name="Рисунок 10" descr="C:\Users\1\Desktop\для сайта\по сайту\sat\images\clip_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сайта\по сайту\sat\images\clip_image0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Швы сварных соединений могут 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выполнятся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усиленными.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Усиление (выпуклость) шва определяется величиной </w:t>
      </w:r>
      <w:proofErr w:type="spell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q</w:t>
      </w:r>
      <w:proofErr w:type="spell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Некоторые типы швов характеризуются величиной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называемой катетом шва. Знак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?, 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проставляемый перед размером катета.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77025" cy="3019425"/>
            <wp:effectExtent l="19050" t="0" r="9525" b="0"/>
            <wp:docPr id="11" name="Рисунок 11" descr="C:\Users\1\Desktop\для сайта\по сайту\sat\images\clip_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сайта\по сайту\sat\images\clip_image02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szCs w:val="28"/>
          <w:lang w:eastAsia="ru-RU"/>
        </w:rPr>
        <w:t>Примеры условных обозначений сварных швов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ГОСТ 14806–80* Т5 </w:t>
      </w:r>
      <w:proofErr w:type="spell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</w:t>
      </w:r>
      <w:proofErr w:type="spellEnd"/>
      <w:r w:rsidRPr="00D02CF3">
        <w:rPr>
          <w:rFonts w:ascii="Verdana" w:eastAsia="Times New Roman" w:hAnsi="Verdana" w:cs="Times New Roman"/>
          <w:color w:val="000000"/>
          <w:sz w:val="28"/>
          <w:szCs w:val="28"/>
          <w:vertAlign w:val="subscript"/>
          <w:lang w:eastAsia="ru-RU"/>
        </w:rPr>
        <w:t xml:space="preserve">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775" cy="133350"/>
            <wp:effectExtent l="19050" t="0" r="9525" b="0"/>
            <wp:docPr id="12" name="Рисунок 12" descr="C:\Users\1\Desktop\для сайта\по сайту\sat\images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сайта\по сайту\sat\images\clip_image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6–50Z100–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электродуговая сварка алюминия, соединение тавровое (Т5), сварка ручная в среде защитных газов (Р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vertAlign w:val="subscript"/>
          <w:lang w:eastAsia="ru-RU"/>
        </w:rPr>
        <w:t>н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3), катет шва 6 мм (?6), шов шахматной, длина проверяемого участка 50мм, шаг 100мм (50Z100);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ГОСТ 5264–80* С18 ] – ручная электродуговая сварка при монтаже, шов стыковой (С18) по незамкнутому контуру ( ] ).</w:t>
      </w:r>
      <w:proofErr w:type="gramEnd"/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D02CF3" w:rsidRPr="00D02CF3" w:rsidTr="00D02CF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02CF3" w:rsidRPr="00D02CF3" w:rsidRDefault="00D02CF3" w:rsidP="00D02CF3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02CF3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ru-RU"/>
              </w:rPr>
              <w:t xml:space="preserve">Вариант </w:t>
            </w:r>
            <w:r w:rsidRPr="00D02CF3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</w:tr>
    </w:tbl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 xml:space="preserve">Графическая работа </w:t>
      </w:r>
      <w:r w:rsidRPr="00D02CF3">
        <w:rPr>
          <w:rFonts w:ascii="Verdana" w:eastAsia="Times New Roman" w:hAnsi="Verdana" w:cs="Times New Roman"/>
          <w:b/>
          <w:i/>
          <w:color w:val="FF0000"/>
          <w:sz w:val="28"/>
          <w:szCs w:val="28"/>
          <w:lang w:eastAsia="ru-RU"/>
        </w:rPr>
        <w:t>«Сварные соединения»   Формат А3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FF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tabs>
          <w:tab w:val="num" w:pos="720"/>
        </w:tabs>
        <w:spacing w:before="30" w:after="30" w:line="360" w:lineRule="auto"/>
        <w:ind w:left="720"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1.</w:t>
      </w:r>
      <w:r w:rsidRPr="00D02CF3">
        <w:rPr>
          <w:rFonts w:ascii="Times New Roman" w:eastAsia="Times New Roman" w:hAnsi="Times New Roman" w:cs="Times New Roman"/>
          <w:b/>
          <w:i/>
          <w:color w:val="000000"/>
          <w:sz w:val="14"/>
          <w:szCs w:val="14"/>
          <w:lang w:eastAsia="ru-RU"/>
        </w:rPr>
        <w:t xml:space="preserve">     </w:t>
      </w: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Выполнить сборочный чертеж сварного соединения в трех видах.</w:t>
      </w:r>
    </w:p>
    <w:p w:rsidR="00D02CF3" w:rsidRPr="00D02CF3" w:rsidRDefault="00D02CF3" w:rsidP="00D02CF3">
      <w:pPr>
        <w:tabs>
          <w:tab w:val="num" w:pos="720"/>
        </w:tabs>
        <w:spacing w:before="30" w:after="30" w:line="360" w:lineRule="auto"/>
        <w:ind w:left="720"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2.</w:t>
      </w:r>
      <w:r w:rsidRPr="00D02CF3">
        <w:rPr>
          <w:rFonts w:ascii="Times New Roman" w:eastAsia="Times New Roman" w:hAnsi="Times New Roman" w:cs="Times New Roman"/>
          <w:b/>
          <w:i/>
          <w:color w:val="000000"/>
          <w:sz w:val="14"/>
          <w:szCs w:val="14"/>
          <w:lang w:eastAsia="ru-RU"/>
        </w:rPr>
        <w:t xml:space="preserve">     </w:t>
      </w: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Выполнить необходимые разрезы.</w:t>
      </w:r>
    </w:p>
    <w:p w:rsidR="00D02CF3" w:rsidRPr="00D02CF3" w:rsidRDefault="00D02CF3" w:rsidP="00D02CF3">
      <w:pPr>
        <w:tabs>
          <w:tab w:val="num" w:pos="720"/>
        </w:tabs>
        <w:spacing w:before="30" w:after="30" w:line="360" w:lineRule="auto"/>
        <w:ind w:left="720"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3.</w:t>
      </w:r>
      <w:r w:rsidRPr="00D02CF3">
        <w:rPr>
          <w:rFonts w:ascii="Times New Roman" w:eastAsia="Times New Roman" w:hAnsi="Times New Roman" w:cs="Times New Roman"/>
          <w:b/>
          <w:i/>
          <w:color w:val="000000"/>
          <w:sz w:val="14"/>
          <w:szCs w:val="14"/>
          <w:lang w:eastAsia="ru-RU"/>
        </w:rPr>
        <w:t xml:space="preserve">     </w:t>
      </w: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t>Обозначить сварные швы по ГОСТ.</w:t>
      </w:r>
    </w:p>
    <w:p w:rsidR="00D02CF3" w:rsidRPr="00D02CF3" w:rsidRDefault="00D02CF3" w:rsidP="00D02CF3">
      <w:pPr>
        <w:tabs>
          <w:tab w:val="num" w:pos="720"/>
        </w:tabs>
        <w:spacing w:before="30" w:after="30" w:line="360" w:lineRule="auto"/>
        <w:ind w:left="720"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lastRenderedPageBreak/>
        <w:t>4.</w:t>
      </w:r>
      <w:r w:rsidRPr="00D02CF3">
        <w:rPr>
          <w:rFonts w:ascii="Times New Roman" w:eastAsia="Times New Roman" w:hAnsi="Times New Roman" w:cs="Times New Roman"/>
          <w:b/>
          <w:i/>
          <w:color w:val="000000"/>
          <w:sz w:val="14"/>
          <w:szCs w:val="14"/>
          <w:lang w:eastAsia="ru-RU"/>
        </w:rPr>
        <w:t xml:space="preserve">     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3164800" cy="29260800"/>
            <wp:effectExtent l="19050" t="0" r="0" b="0"/>
            <wp:docPr id="13" name="Рисунок 13" descr="C:\Users\1\Desktop\для сайта\по сайту\sat\images\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ля сайта\по сайту\sat\images\clip_image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0" cy="292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CF3">
        <w:rPr>
          <w:rFonts w:ascii="Verdana" w:eastAsia="Times New Roman" w:hAnsi="Verdana" w:cs="Times New Roman"/>
          <w:b/>
          <w:i/>
          <w:color w:val="000000"/>
          <w:sz w:val="28"/>
          <w:szCs w:val="28"/>
          <w:lang w:eastAsia="ru-RU"/>
        </w:rPr>
        <w:lastRenderedPageBreak/>
        <w:t>Вычертить спецификацию деталей сварной сборочной единицы по установленной форме.</w:t>
      </w:r>
      <w:r w:rsidRPr="00D02CF3">
        <w:rPr>
          <w:rFonts w:ascii="Verdana" w:eastAsia="Times New Roman" w:hAnsi="Verdana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Группа 1 года обучения.   Объединение «Занимательное черчение»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Группа 1 (15:35 – 17:55)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 xml:space="preserve">Тема: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Чтение чертежей. Общие сведения. Чтение и </w:t>
      </w:r>
      <w:proofErr w:type="spell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деталирование</w:t>
      </w:r>
      <w:proofErr w:type="spell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чертежей общих видов и сборочных чертежей.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Задание для изучения: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Карандаши и листы ватмана постепенно уходят в прошлое, уступая место цифровым технологиям и специализированным программам. Но принципы начертания остаются </w:t>
      </w:r>
      <w:proofErr w:type="gramStart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теми</w:t>
      </w:r>
      <w:proofErr w:type="gramEnd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же и необходимо учиться чтению чертежей. В производстве и в строительных организациях широко распространено использование конструкторской документации, разработать которую без знания черчения невозможно. Для создания простых и комплексных трубопроводов и электроустановок, для сборочного узла и высотных металлоконструкций всё равно необходимо создавать проекты. </w:t>
      </w:r>
      <w:r w:rsidRPr="00D02CF3">
        <w:rPr>
          <w:rFonts w:ascii="Verdana" w:eastAsia="Times New Roman" w:hAnsi="Verdana" w:cs="Times New Roman"/>
          <w:iCs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В машиностроении чертежи могут быть разными: существуют чертежи деталей, сборочные, схемы, спецификации и др. Технические рисунки должны изготавливаться согласно правилам государственных стандартов (ГОСТ) или Единой системы конструкторской документации (ЕСКД).  Количество изображений должно быть минимальным. В инженерной графике чертёж - это представление предмета с помощью проекций и точным соотношением его размеров.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14" name="Рисунок 14" descr="C:\Users\1\Desktop\для сайта\по сайту\sat\images\clip_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сайта\по сайту\sat\images\clip_image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lang w:eastAsia="ru-RU"/>
        </w:rPr>
        <w:t>Допуски и посадки.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 Зачем это все нужно? Этот вопрос возникает не только у рабочего на производстве. Это задумано, чтобы на заводе не теряли время на постоянное измерение фактических размеров полученной детали, и без брака производили совместимые изделия.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7500" cy="2657475"/>
            <wp:effectExtent l="19050" t="0" r="0" b="0"/>
            <wp:docPr id="15" name="Рисунок 15" descr="C:\Users\1\Desktop\для сайта\по сайту\sat\images\clip_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ля сайта\по сайту\sat\images\clip_image02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Числовые значения верхнего и нижнего предельных отклонений указывают рядом с размерами шрифтом меньшей величины, чем для размерных чисел.</w:t>
      </w:r>
      <w:proofErr w:type="gramEnd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Допуск – это диапазон отклонения от номинального размера. Поле допуска обозначают либо одной, либо двумя буквами основного отклонения и номером квалитета.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4210050"/>
            <wp:effectExtent l="19050" t="0" r="0" b="0"/>
            <wp:docPr id="16" name="Рисунок 16" descr="C:\Users\1\Desktop\для сайта\по сайту\sat\images\clip_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ля сайта\по сайту\sat\images\clip_image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lastRenderedPageBreak/>
        <w:t xml:space="preserve">Посадка состоит из допуска на наружной, охватываемой поверхности, допуска на внутреннюю поверхность, и определяется величиной зазора или натяга. Посадки указывают с помощью дроби в правой части от размера, в числителе обозначение предельного отклонения, а в знаменателе аналогичное обозначение для совместимой детали.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lang w:eastAsia="ru-RU"/>
        </w:rPr>
        <w:t>Обозначения размеров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. Величина детали обозначается соответствующими числами и линиями со стрелками на концах. Линии размеров непрерывны и располагаются параллельно за пределами контура детали.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5467350"/>
            <wp:effectExtent l="19050" t="0" r="0" b="0"/>
            <wp:docPr id="17" name="Рисунок 17" descr="C:\Users\1\Desktop\для сайта\по сайту\sat\images\clip_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ля сайта\по сайту\sat\images\clip_image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lastRenderedPageBreak/>
        <w:t xml:space="preserve">Единицы измерения на чертежах не обозначаются, по умолчанию всё указывают в миллиметрах.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lang w:eastAsia="ru-RU"/>
        </w:rPr>
        <w:t>Выносные элементы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. Бывают случаи, когда удобнее вынести и увеличить часть детали за пределы основного контура. По сути, это самые сложные участки рассматриваемого изделия. Обычно так поступают с деталями замысловатой формы для экономии места на чертеже.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4162425"/>
            <wp:effectExtent l="19050" t="0" r="0" b="0"/>
            <wp:docPr id="18" name="Рисунок 18" descr="C:\Users\1\Desktop\для сайта\по сайту\sat\images\clip_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ля сайта\по сайту\sat\images\clip_image0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Комплексную часть обводят либо кругом, либо овалом и подписывают римской цифрой. Выносному элементу этого фрагмента присваивают тот же римский номер в знаменателе, а в числителе указывают его масштаб. Обозначение материалов в сечениях Сечение – это изображение фигуры, получившееся после условного её рассечения. Оно показывает лишь формы детали, не раскрывая остальные сегменты, что располагаются за ним.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7500" cy="4733925"/>
            <wp:effectExtent l="19050" t="0" r="0" b="0"/>
            <wp:docPr id="19" name="Рисунок 19" descr="C:\Users\1\Desktop\для сайта\по сайту\sat\images\clip_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ля сайта\по сайту\sat\images\clip_image0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Сечения бывают вынесенными или наложенными. Первые отображаются за пределами формы предмета, вторые прямо на нём.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7500" cy="4191000"/>
            <wp:effectExtent l="19050" t="0" r="0" b="0"/>
            <wp:docPr id="20" name="Рисунок 20" descr="C:\Users\1\Desktop\для сайта\по сайту\sat\images\clip_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ля сайта\по сайту\sat\images\clip_image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Контур сечения заполняют косыми сплошными линиями с углом наклона 45 градусов. Линии должны располагаться в одну и ту же сторону на всех сечениях для одной детали, учитывая и материал изделия.  Могут быть расположены в любом месте на чертеже, под произвольным углом, но в этом случае с добавлением в надписи слова «повёрнуто» над сечением.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Условные обозначения на чертежах технологической документации.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 На чертежах используют условные обозначения, установленные государственными стандартами. Это основы, в них описываются правила оформления знаков, букв, цифр, линий и так далее.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67500" cy="4714875"/>
            <wp:effectExtent l="19050" t="0" r="0" b="0"/>
            <wp:docPr id="21" name="Рисунок 21" descr="C:\Users\1\Desktop\для сайта\по сайту\sat\images\clip_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ля сайта\по сайту\sat\images\clip_image0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Обычно их на чертеже не разъясняют, за исключением обозначений, в которых необходимо указать номер стандарта. Всё-таки с </w:t>
      </w:r>
      <w:proofErr w:type="spellStart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ГОСТами</w:t>
      </w:r>
      <w:proofErr w:type="spellEnd"/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необходимо ознакомиться для выполнения и распознавания чертежей или схем.  Это как раз тот случай, когда просто прочесть учебник по черчению недостаточно. Лучше всего пройти специализированные курсы или обучиться инженерным специальностям или другим профессиям, относящимся к производству или к строительству. Умение читать технологическую документацию необходимо как инженеру, так и рядовому токарю.  В целом, машиностроение и другие отрасли используют ряд основных обозначений: Буквенные, отражающие условные величины, 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lastRenderedPageBreak/>
        <w:t>например, радиус, шаг резьбы и многое другое. Цифровые, выражающие значения размеров, величину угла и т. п. Буквенно-цифровые, встречаются в основном в электрических схемах. Графические – это базовые элементы технического рисунка. Ими отображают как структуру детали, материал изделия, так и её конструкцию (дверной или оконный проём и т. п.). Все это необходимо для корректной подачи минимума информации на листе и последующего его верного прочтения.</w:t>
      </w:r>
      <w:r w:rsidRPr="00D02CF3">
        <w:rPr>
          <w:rFonts w:ascii="Verdana" w:eastAsia="Times New Roman" w:hAnsi="Verdana" w:cs="Times New Roman"/>
          <w:iCs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iCs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Порядок чтения чертежей.  Помимо чертежей, также широко используется эскиз – это не технический чертёж. Это набросок предмета в произвольном масштабе, для изготовления которого не применяют чертёжные инструменты, и он не сопровождается надписями и размерами. Какие-либо знаки на нём и рядом с ним также не ставятся. Качество эскиза зависит 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lastRenderedPageBreak/>
        <w:t>от того, насколько он приближен к чертежу.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4848225"/>
            <wp:effectExtent l="19050" t="0" r="0" b="0"/>
            <wp:docPr id="22" name="Рисунок 22" descr="C:\Users\1\Desktop\для сайта\по сайту\sat\images\clip_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ля сайта\по сайту\sat\images\clip_image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Чтение чертежа – это представление на двумерной плоской поверхности по изображениям объёмной формы предмета и его размеров и содержащее прочие сведения. Но как научиться читать чертежи правильно? Существуют ли какие-нибудь простые, общие принципы для этого? 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Чтение происходит в следующем порядке: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читается основная надпись чертежа;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определяется главный вид;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анализируются виды и мысленно объединяются в единое целое; определяются размеры детали и её компонентов.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lastRenderedPageBreak/>
        <w:t>Пример чтения чертежа детали.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Основная надпись говорит о том, что на данном техническом рисунке изображено резьбовое соединение, в частности, скрепление болтом. Также на ней указан код документа и индекс изделия. Масштаб чертежа выполнен в натуральную величину, а именно 1:1.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02CF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67500" cy="4953000"/>
            <wp:effectExtent l="19050" t="0" r="0" b="0"/>
            <wp:docPr id="23" name="Рисунок 23" descr="C:\Users\1\Desktop\для сайта\по сайту\sat\images\clip_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ля сайта\по сайту\sat\images\clip_image0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Главный вид представлен с наложенным сечением скрепляемых деталей. Соединение показано двумя проекциями. Отдельно представлен болт, с метрической резьбой и высотой 120 мм и 30 миллиметровым диаметром. Также изображена гайка на виде сверху. А вот размеры шайбы по данным этого чертежа неясны.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lastRenderedPageBreak/>
        <w:t>Заключение.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 xml:space="preserve">  Машиностроительные чертежи - это непростые документы и не всегда можно их с ходу прочесть, но зато они могут передавать большие объёмы информации об искомых изделиях. Порой даже опытные инженеры не стесняются заглянуть в учебники или в государственные стандарты, чтобы правильно передать или понять смысл технического рисунка и сделать нужное обозначение для данной детали.</w:t>
      </w:r>
      <w:r w:rsidRPr="00D02CF3">
        <w:rPr>
          <w:rFonts w:ascii="Times New Roman" w:eastAsia="Times New Roman" w:hAnsi="Times New Roman" w:cs="Times New Roman"/>
          <w:color w:val="303457"/>
          <w:sz w:val="28"/>
          <w:szCs w:val="28"/>
          <w:lang w:eastAsia="ru-RU"/>
        </w:rPr>
        <w:br/>
      </w:r>
      <w:r w:rsidRPr="00D02CF3">
        <w:rPr>
          <w:rFonts w:ascii="Times New Roman" w:eastAsia="Times New Roman" w:hAnsi="Times New Roman" w:cs="Times New Roman"/>
          <w:color w:val="303457"/>
          <w:sz w:val="28"/>
          <w:szCs w:val="28"/>
          <w:lang w:eastAsia="ru-RU"/>
        </w:rPr>
        <w:br/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Вопросы: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Что подразумевается  под чтением чертежа общего вида?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lastRenderedPageBreak/>
        <w:t>Группа 1 года обучения.   Объединение «Занимательное черчение»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Группа 1 (15:35 – 17:55)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Тема: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Схемы и их выполнение. Общие сведения о схемах. Разновидности схем. 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Задание для изучения: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Общие сведения о схемах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Схемами называются конструкторские документы, на которых составные части изделия, их взаимное расположение и связи между ними показаны в виде условных графических изображений.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 современной технике широко используются механические, пневматические, гидравлические и электрические устройства и приводы. Изучение принципа и последовательность действия таких устройств по чертежам общих видов и сборочным чертежам часто затруднительно.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Поэтому кроме чертежей часто составляют специальные схемы, позволяющие значительно быстрее разобраться в принципе и последовательности действия того или иного устройства.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Cs/>
          <w:color w:val="000000"/>
          <w:sz w:val="28"/>
          <w:lang w:eastAsia="ru-RU"/>
        </w:rPr>
        <w:t>Схемы просты по выполнению и достаточно наглядны; они могут быть выполнены в прямоугольных и аксонометрических проекциях.</w:t>
      </w:r>
      <w:r w:rsidRPr="00D02CF3">
        <w:rPr>
          <w:rFonts w:ascii="Verdana" w:eastAsia="Times New Roman" w:hAnsi="Verdana" w:cs="Times New Roman"/>
          <w:bCs/>
          <w:color w:val="000000"/>
          <w:sz w:val="28"/>
          <w:szCs w:val="28"/>
          <w:lang w:eastAsia="ru-RU"/>
        </w:rPr>
        <w:br/>
      </w:r>
      <w:r w:rsidRPr="00D02CF3">
        <w:rPr>
          <w:rFonts w:ascii="Verdana" w:eastAsia="Times New Roman" w:hAnsi="Verdana" w:cs="Times New Roman"/>
          <w:bCs/>
          <w:color w:val="000000"/>
          <w:sz w:val="28"/>
          <w:lang w:eastAsia="ru-RU"/>
        </w:rPr>
        <w:t>Масштаб при выполнении схем выбирается произвольный, пропорции между размерами элементов изделия тоже, как правило, не соблюдаются.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Разновидности схем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Виды и типы схем 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(кроме электрических)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определены в </w:t>
      </w:r>
      <w:hyperlink r:id="rId26" w:tgtFrame="_blank" w:history="1">
        <w:r w:rsidRPr="00D02CF3">
          <w:rPr>
            <w:rFonts w:ascii="Verdana" w:eastAsia="Times New Roman" w:hAnsi="Verdana" w:cs="Times New Roman"/>
            <w:b/>
            <w:bCs/>
            <w:iCs/>
            <w:sz w:val="28"/>
            <w:lang w:eastAsia="ru-RU"/>
          </w:rPr>
          <w:t>ГОСТ 2.701-84</w:t>
        </w:r>
      </w:hyperlink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в котором установлены обозначения схем и общие требования к их выполнению.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Виды схем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В зависимости от характера элементов и линий связей, входящих в состав устройства, схемы подразделяются на виды, каждый из которых часто обозначается буквой: кинематические -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К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гидравлические –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Г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пневматические – </w:t>
      </w:r>
      <w:proofErr w:type="gramStart"/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П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электрические –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Э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оптические –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О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и др.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Типы схем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Схемы в зависимости от основного назначения делятся на типы, каждый из которых обычно обозначается цифрой: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1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–структурные;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2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–функциональные;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3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–принципиальные;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4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–соединения 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(монтажные)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5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–подключения;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6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–общие;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     </w:t>
      </w: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7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расположения и др.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Структурные схемы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служат для общего ознакомления с изделием и определяют взаимосвязь составных частей изделия и их назначение; элементы схемы вычерчиваются простыми геометрическими фигурами 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(прямоугольниками)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и прямыми линиями или аналитической записью, попускающей применение </w:t>
      </w:r>
      <w:r w:rsidRPr="00D02CF3">
        <w:rPr>
          <w:rFonts w:ascii="Verdana" w:eastAsia="Times New Roman" w:hAnsi="Verdana" w:cs="Times New Roman"/>
          <w:iCs/>
          <w:color w:val="000000"/>
          <w:sz w:val="28"/>
          <w:lang w:eastAsia="ru-RU"/>
        </w:rPr>
        <w:t>ЭВМ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Cs/>
          <w:iCs/>
          <w:color w:val="000000"/>
          <w:sz w:val="28"/>
          <w:lang w:eastAsia="ru-RU"/>
        </w:rPr>
        <w:t>Функциональные схемы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 поясняют процессы, протекающие в изделии или в его функциональной части; в них должны быть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указаны наименования всех изображенных функциональных частей.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Принципиальные схемы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(полные)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определяют полный состав элементов изделия и связей между ними, давая детальное представление о принципах действия изделия.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Схемы соединений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(монтажные)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показывают соединения составных частей изделия, а также места присоединений и вводов и выявляют провода, кабели, трубопроводы и их арматуру.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Схемы подключения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показывают внешние подключения изделия к коммуникациям или устройствам.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Наименование схемы определяется ее видом и типом, например, схема гидравлическая принципиальная, схема электрическая функциональная и т. п.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Шифр схемы, входящий в состав ее обозначения, состоит из буквы, определяющей вид схемы и цифры, определяющей ее тип.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Например, схема гидравлическая принципиальная имеет шифр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Г3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схема электрическая структурная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Э</w:t>
      </w:r>
      <w:proofErr w:type="gramStart"/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1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Для изделия, в состав которого входят элементы разных видов, может быть разработана комбинированная схема, содержащая элементы и связи разных видов. Комбинированная схема обозначается буквой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"С"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а ее наименование определяется комбинированными видами и типом.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Например: схема принципиальная гидрокинематическая.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При составлении схем применяются следующие термины: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lastRenderedPageBreak/>
        <w:t>Элемент схемы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составная часть схемы, выполняющая определенную функцию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(назначение)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в изделии, которая не может быть разделена на части, имеющие самостоятельное функциональное назначение.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Например, насос, соединительная муфта, конденсатор, резистор и т. п.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Устройство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совокупность элементов, представляющих одну конструкцию, например, механизм храповой, печатная плата, шкаф.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Функциональная группа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совокупность элементов, выполняющих в изделии определенную функцию и не объединенных в одну конструкцию.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Функциональная часть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элемент, оборудование или функциональная группа.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Линии взаимосвязи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 отрезок линии на схеме, показывающий связь между функциональными частями изделия.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При выполнении схемы масштабы не соблюдаются.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Действительное пространственное расположение составных частей изделия может на схеме не учитываться или учитываться приближенно.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Элементы, входящие в состав изделия, изображаются на схемах, как правило, в виде условных графических обозначений, устанавливаемых стандартами Единой системы конструкторской документации (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ЕСКД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).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Связь между элементами схемы показывается линиями взаимосвязи, которые условно представляют собой коммуникации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(трубопроводы, провода, кабели и т. п.)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 и 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кинематические связи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(например, валы)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Условные обозначения элементов общего применения на схемах устанавливает </w:t>
      </w:r>
      <w:hyperlink r:id="rId27" w:tgtFrame="_blank" w:history="1">
        <w:r w:rsidRPr="00D02CF3">
          <w:rPr>
            <w:rFonts w:ascii="Verdana" w:eastAsia="Times New Roman" w:hAnsi="Verdana" w:cs="Times New Roman"/>
            <w:b/>
            <w:bCs/>
            <w:i/>
            <w:iCs/>
            <w:sz w:val="28"/>
            <w:lang w:eastAsia="ru-RU"/>
          </w:rPr>
          <w:t>ГОСТ 2.721-74</w:t>
        </w:r>
      </w:hyperlink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Условные графические обозначения общего применения для использования в электрических, гидравлических, пневматических и комбинированных схемах приведены в таблице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…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 схемах должно быть наименьшее число изломов и пересечений линий связи, изображаемых горизонтальными и вертикальными участками.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Схемы следует выполнять компактно, но без ущерба для ясности и удобства их чтения.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Элементы, составляющие отдельное устройство, допускается выделять на схемах штрихпунктирными тонкими линиями с указанием этого устройства.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На схеме одного вида допускается изображать элементы схем других видов, непосредственно влияющих на действие изделия. Эти элементы и их связи изображаются тоже тонкими штрихпунктирными линиями.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Схеме присваивается обозначение того изделия, действие которого отображено на схеме. После этого обозначения записывается шифр схемы. Наименование схемы указывается в основной надписи после наименования изделия.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Вопросы: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Что такое схема</w:t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Какие типы схем вы знаете?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Какие виды схем вы знаете?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Группа 1 года обучения.   Объединение «Занимательное черчение»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Группа 1 (15:35 – 17:55)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Тема: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Кинематическая принципиальная схема. Гидравлическая и пневматическая принципиальная схема. Электрическая принципиальная схема.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Задание для изучения: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Кинематические схемы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Кинематические схемы устанавливают состав механизмов и поясняют взаимодействие их элементов. Условные обозначения на таких схемах представляют собой изображения механизмов и их составных частей, напоминающие их лишь в общих чертах.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элемент, изображенный на схеме условно, должен иметь свое обозначение: порядковый номер или буквенно-цифровое позиционное обозначение. Для каждого вида схем установлены правила нанесения таких обозначений.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гидравлических, пневматических и электрических схемах обозначения заносятся в перечень элементов, оформляемый в виде таблицы, заполняемый сверху вниз. Правила выполнения кинематических схем изложены в </w:t>
      </w:r>
      <w:hyperlink r:id="rId28" w:tgtFrame="_blank" w:history="1">
        <w:r w:rsidRPr="00D02CF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ГОСТ 2.703-68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Условные графические обозначения элементов машин и механизмов устанавливает </w:t>
      </w:r>
      <w:hyperlink r:id="rId29" w:tgtFrame="_blank" w:history="1">
        <w:r w:rsidRPr="00D02CF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ГОСТ 2.770-68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кинематических схемах валы, оси, стержни, шатуны, кривошипы и т. п. изображают сплошными основными линиями толщиной 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Элементы, изображаемые условно и упрощенно, выполняют сплошными линиями толщиной 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Кинематические схемы выполняют, как правило, в виде развертки: все геометрические оси условно считаются расположенными в одной плоскости или в параллельных плоскостях.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Каждому кинематическому элементу, изображенному на схеме, как правило, присваивают порядковый номер, начиная от источника движения. Валы нумеруются римскими цифрами, остальные элементы – арабскими.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Порядковый номер элемента проставляют на полке линии-выноски. Под полкой линии-выноски указывают основные характеристики и параметры кинематического элемента.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 </w:t>
      </w:r>
      <w:hyperlink r:id="rId30" w:tgtFrame="_blank" w:history="1">
        <w:r w:rsidRPr="00D02CF3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ГОСТ 2.703-68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схемах следует указывать следующие характеристики и параметры элементов кинематических схем: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движения – наименование, тип, характеристика;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шкив ременной передачи – диаметр шкива;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зубчатое колесо – число зубьев, модуль, а для косозубых колес – также направление и угол наклона зубьев;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червяк – модуль осевой, число заходов;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ходовой винт – ход винтовой линии, число заходов, надпись «лев</w:t>
      </w:r>
      <w:proofErr w:type="gram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 (</w:t>
      </w:r>
      <w:proofErr w:type="gram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для левых 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резьб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и т. п.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Гидравлические и пневматические принципиальные схемы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выполнения гидравлических и пневматических схем устанавливает </w:t>
      </w:r>
      <w:hyperlink r:id="rId31" w:tgtFrame="_blank" w:history="1">
        <w:r w:rsidRPr="00D02CF3">
          <w:rPr>
            <w:rFonts w:ascii="Times New Roman" w:eastAsia="Times New Roman" w:hAnsi="Times New Roman" w:cs="Times New Roman"/>
            <w:b/>
            <w:bCs/>
            <w:i/>
            <w:iCs/>
            <w:sz w:val="28"/>
            <w:lang w:eastAsia="ru-RU"/>
          </w:rPr>
          <w:t>ГОСТ 2.704-76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Условные графические обозначения элементов, применяемых в этих схемах, выполняют по </w:t>
      </w:r>
      <w:hyperlink r:id="rId32" w:tgtFrame="_blank" w:history="1">
        <w:r w:rsidRPr="00D02CF3">
          <w:rPr>
            <w:rFonts w:ascii="Times New Roman" w:eastAsia="Times New Roman" w:hAnsi="Times New Roman" w:cs="Times New Roman"/>
            <w:b/>
            <w:bCs/>
            <w:i/>
            <w:iCs/>
            <w:sz w:val="28"/>
            <w:lang w:eastAsia="ru-RU"/>
          </w:rPr>
          <w:t>ГОСТ 2.780-96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hyperlink r:id="rId33" w:tgtFrame="_blank" w:history="1">
        <w:r w:rsidRPr="00D02CF3">
          <w:rPr>
            <w:rFonts w:ascii="Times New Roman" w:eastAsia="Times New Roman" w:hAnsi="Times New Roman" w:cs="Times New Roman"/>
            <w:b/>
            <w:bCs/>
            <w:i/>
            <w:iCs/>
            <w:sz w:val="28"/>
            <w:lang w:eastAsia="ru-RU"/>
          </w:rPr>
          <w:t>ГОСТ 2.781-96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hyperlink r:id="rId34" w:tgtFrame="_blank" w:history="1">
        <w:r w:rsidRPr="00D02CF3">
          <w:rPr>
            <w:rFonts w:ascii="Times New Roman" w:eastAsia="Times New Roman" w:hAnsi="Times New Roman" w:cs="Times New Roman"/>
            <w:b/>
            <w:bCs/>
            <w:i/>
            <w:iCs/>
            <w:sz w:val="28"/>
            <w:lang w:eastAsia="ru-RU"/>
          </w:rPr>
          <w:t>ГОСТ 2.784-96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Каждый элемент или устройство, входящее в изделие и изображенное на схеме, имеет позиционное обозначение, состоящее из прописной буквы 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русского алфавита и цифры.</w:t>
      </w:r>
      <w:proofErr w:type="gram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Буквы и цифры выполняют одним размером стандартного шрифта.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Буквенное обозначение состоит из одной или двух букв: начальных или характерных в названии элемента. Например, бак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клапан обратный – </w:t>
      </w:r>
      <w:proofErr w:type="gramStart"/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</w:t>
      </w:r>
      <w:proofErr w:type="gram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Таблица буквенных обозначений помещена в обязательном приложении к </w:t>
      </w:r>
      <w:hyperlink r:id="rId35" w:tgtFrame="_blank" w:history="1">
        <w:r w:rsidRPr="00D02CF3">
          <w:rPr>
            <w:rFonts w:ascii="Times New Roman" w:eastAsia="Times New Roman" w:hAnsi="Times New Roman" w:cs="Times New Roman"/>
            <w:b/>
            <w:bCs/>
            <w:i/>
            <w:iCs/>
            <w:sz w:val="28"/>
            <w:lang w:eastAsia="ru-RU"/>
          </w:rPr>
          <w:t>ГОСТ 2.704-76</w:t>
        </w:r>
      </w:hyperlink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«Правила выполнения гидравлических и пневматических схем».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гидробак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Б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пневмо</w:t>
      </w:r>
      <w:proofErr w:type="spellEnd"/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клапан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гидро</w:t>
      </w:r>
      <w:proofErr w:type="spell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</w:t>
      </w:r>
      <w:proofErr w:type="spellStart"/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пневмо</w:t>
      </w:r>
      <w:proofErr w:type="spellEnd"/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)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клапан предохранительный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КП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фильтр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Ф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насос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</w:t>
      </w:r>
      <w:proofErr w:type="gramEnd"/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Порядковый номер, входящий в цифровое обозначение элемента, назначается с единицы в пределах группы одинаковых элементов с одинаковыми буквенными обозначениями.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Например, Фильтр –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Ф</w:t>
      </w:r>
      <w:proofErr w:type="gramStart"/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</w:t>
      </w:r>
      <w:proofErr w:type="gram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D02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Ф2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т. п.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Порядковые номера обозначаются обычно в зависимости от расположения элементов на схеме – сверху вниз и слева направо. Позиционное обозначение наносят на схеме рядом, справа или над условным графическим изображением элемента.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Данные об элементах записываются в стандартной таблице перечня элементов над основной надписью. Если вся таблица перечня не помещается над основной надписью схемы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(много элементов)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ее выполняют на отдельном листе формата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</w:t>
      </w:r>
      <w:proofErr w:type="gramStart"/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4</w:t>
      </w:r>
      <w:proofErr w:type="gramEnd"/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и устройства изображают на схемах, как правило, в исходном положении. Например, пружины изображают в состоянии предварительного сжатия, обратный клапан – в закрытом положении и т. п.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Линии связи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(трубопроводы)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схемах обозначают порядковыми номерами, начиная с единицы, которые на схеме проставляют около концов изображения этих линий. На линиях связи допускается указывать направление потока рабочей среды </w:t>
      </w:r>
      <w:r w:rsidRPr="00D02CF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(жидкости, воздуха)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виде треугольников. Если линия связи представляет собой внутренний канал в </w:t>
      </w:r>
      <w:r w:rsidRPr="00D0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каком-либо элементе, то перед порядковым номером линии связи через точку ставится номер этого элемента.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  <w:t> 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Электрические принципиальные схемы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Электрические схемы имеют классификацию, термины и определения, которые устанавливает </w:t>
      </w:r>
      <w:hyperlink r:id="rId36" w:tgtFrame="_blank" w:history="1">
        <w:r w:rsidRPr="00D02CF3">
          <w:rPr>
            <w:rFonts w:ascii="Verdana" w:eastAsia="Times New Roman" w:hAnsi="Verdana" w:cs="Times New Roman"/>
            <w:b/>
            <w:bCs/>
            <w:i/>
            <w:iCs/>
            <w:sz w:val="28"/>
            <w:lang w:eastAsia="ru-RU"/>
          </w:rPr>
          <w:t>ГОСТ 2.701- 84</w:t>
        </w:r>
      </w:hyperlink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 Они выполняются в соответствии с </w:t>
      </w:r>
      <w:hyperlink r:id="rId37" w:tgtFrame="_blank" w:history="1">
        <w:r w:rsidRPr="00D02CF3">
          <w:rPr>
            <w:rFonts w:ascii="Verdana" w:eastAsia="Times New Roman" w:hAnsi="Verdana" w:cs="Times New Roman"/>
            <w:b/>
            <w:bCs/>
            <w:i/>
            <w:iCs/>
            <w:sz w:val="28"/>
            <w:lang w:eastAsia="ru-RU"/>
          </w:rPr>
          <w:t>ГОСТ 2.702-75</w:t>
        </w:r>
      </w:hyperlink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«Схемы электрические. Общие требования к выполнению».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Существует значительное число стандартов, содержащих условные графические обозначения элементов, применяемых в электрических схемах. На схеме рекомендуется указывать характеристики входных и выходных цепей изделия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(род тока, напряжение, частота и т. п.)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 Схемы вычерчиваются для изделий, находящихся в отключенном положении.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Каждый элемент, входящий в изделие и изображенный на схеме, имеет буквенно-цифровое позиционное обозначение, составленного из буквы и порядкового номера, стоящего после буквы.</w:t>
      </w:r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Стандарты устанавливают буквенно-цифровые обозначения для наиболее распространенных элементов.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</w:r>
      <w:proofErr w:type="gramStart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Например, резистор –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R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конденсатор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С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катушка индуктивности или дроссель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L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амперметр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РА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вольтметр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VP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двигатель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(мотор)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М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батарея аккумуляторная или гальваническая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GB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выключатель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(переключатель, ключ, контроллер, рубильник и т. п.)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S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генератор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G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транзистор и диод полупроводниковый, предохранительное устройство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VD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предохранитель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F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трансформатор 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Т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электромагнит 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(или муфта электромагнитная)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–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Y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02CF3" w:rsidRPr="00D02CF3" w:rsidRDefault="00D02CF3" w:rsidP="00D02CF3">
      <w:pPr>
        <w:spacing w:before="30" w:after="30" w:line="36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>Порядковые номера элементов присваивают, начиная с единицы в пределах групп элементов с одинаковым буквенным обозначением, например,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В</w:t>
      </w:r>
      <w:proofErr w:type="gramStart"/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1</w:t>
      </w:r>
      <w:proofErr w:type="gramEnd"/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В2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 </w:t>
      </w:r>
      <w:r w:rsidRPr="00D02CF3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В3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и т. д. Если в изделие входит только один элемент данной группы, то порядковый номер в его позиционном обозначении может не указываться. Цифры порядковых номеров элементов и их буквенные позиционные обозначения выполняются шрифтом одного размера.</w:t>
      </w: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br/>
        <w:t>Позиционные обозначения заносятся в перечень элементов; последовательность и порядок записи позиционных обозначений устанавливает</w:t>
      </w:r>
      <w:r w:rsidRPr="00D02CF3">
        <w:rPr>
          <w:rFonts w:ascii="Verdana" w:eastAsia="Times New Roman" w:hAnsi="Verdana" w:cs="Times New Roman"/>
          <w:i/>
          <w:iCs/>
          <w:color w:val="000000"/>
          <w:sz w:val="28"/>
          <w:lang w:eastAsia="ru-RU"/>
        </w:rPr>
        <w:t> ГОСТ 2.701-81.</w:t>
      </w:r>
    </w:p>
    <w:p w:rsidR="00D02CF3" w:rsidRPr="00D02CF3" w:rsidRDefault="00D02CF3" w:rsidP="00D02CF3">
      <w:pPr>
        <w:spacing w:before="30" w:after="30" w:line="36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02CF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</w:p>
    <w:p w:rsidR="000239AF" w:rsidRDefault="000239AF"/>
    <w:sectPr w:rsidR="000239AF" w:rsidSect="0002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CF3"/>
    <w:rsid w:val="000239AF"/>
    <w:rsid w:val="004F2D5E"/>
    <w:rsid w:val="00941D0C"/>
    <w:rsid w:val="00D02CF3"/>
    <w:rsid w:val="00DA7808"/>
    <w:rsid w:val="00EF6EBF"/>
    <w:rsid w:val="00F07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2CF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D02CF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style12"/>
    <w:basedOn w:val="a0"/>
    <w:rsid w:val="00D02CF3"/>
  </w:style>
  <w:style w:type="character" w:styleId="a4">
    <w:name w:val="Emphasis"/>
    <w:basedOn w:val="a0"/>
    <w:uiPriority w:val="20"/>
    <w:qFormat/>
    <w:rsid w:val="00D02CF3"/>
    <w:rPr>
      <w:i/>
      <w:iCs/>
    </w:rPr>
  </w:style>
  <w:style w:type="character" w:styleId="a5">
    <w:name w:val="Subtle Emphasis"/>
    <w:basedOn w:val="a0"/>
    <w:uiPriority w:val="19"/>
    <w:qFormat/>
    <w:rsid w:val="00D02CF3"/>
  </w:style>
  <w:style w:type="paragraph" w:styleId="a6">
    <w:name w:val="No Spacing"/>
    <w:basedOn w:val="a"/>
    <w:uiPriority w:val="1"/>
    <w:qFormat/>
    <w:rsid w:val="00D02CF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Subtitle"/>
    <w:basedOn w:val="a"/>
    <w:link w:val="a8"/>
    <w:uiPriority w:val="11"/>
    <w:qFormat/>
    <w:rsid w:val="00D02CF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D02C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D02CF3"/>
    <w:rPr>
      <w:b/>
      <w:bCs/>
    </w:rPr>
  </w:style>
  <w:style w:type="character" w:customStyle="1" w:styleId="style1">
    <w:name w:val="style1"/>
    <w:basedOn w:val="a0"/>
    <w:rsid w:val="00D02CF3"/>
  </w:style>
  <w:style w:type="character" w:customStyle="1" w:styleId="style7">
    <w:name w:val="style7"/>
    <w:basedOn w:val="a0"/>
    <w:rsid w:val="00D02CF3"/>
  </w:style>
  <w:style w:type="paragraph" w:styleId="aa">
    <w:name w:val="Balloon Text"/>
    <w:basedOn w:val="a"/>
    <w:link w:val="ab"/>
    <w:uiPriority w:val="99"/>
    <w:semiHidden/>
    <w:unhideWhenUsed/>
    <w:rsid w:val="00D02C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2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4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4970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hyperlink" Target="http://docs.cntd.ru/document/1200001732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://docs.cntd.ru/document/gost-2-784-96-eskd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hyperlink" Target="http://docs.cntd.ru/document/1200007024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://docs.cntd.ru/document/120000702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hyperlink" Target="http://docs.cntd.ru/document/gost-2-780-96-eskd" TargetMode="External"/><Relationship Id="rId37" Type="http://schemas.openxmlformats.org/officeDocument/2006/relationships/hyperlink" Target="http://docs.cntd.ru/document/gost-2-702-75-eskd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docs.cntd.ru/document/gost-2-703-2011-eskd" TargetMode="External"/><Relationship Id="rId36" Type="http://schemas.openxmlformats.org/officeDocument/2006/relationships/hyperlink" Target="http://docs.cntd.ru/document/gost-2-701-84-eskd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://docs.cntd.ru/document/gost-2-704-76-esk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docs.cntd.ru/document/1200007058" TargetMode="External"/><Relationship Id="rId30" Type="http://schemas.openxmlformats.org/officeDocument/2006/relationships/hyperlink" Target="http://docs.cntd.ru/document/gost-2-703-2011-eskd" TargetMode="External"/><Relationship Id="rId35" Type="http://schemas.openxmlformats.org/officeDocument/2006/relationships/hyperlink" Target="http://docs.cntd.ru/document/gost-2-704-76-esk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3483</Words>
  <Characters>19854</Characters>
  <Application>Microsoft Office Word</Application>
  <DocSecurity>0</DocSecurity>
  <Lines>165</Lines>
  <Paragraphs>46</Paragraphs>
  <ScaleCrop>false</ScaleCrop>
  <Company/>
  <LinksUpToDate>false</LinksUpToDate>
  <CharactersWithSpaces>23291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2020-04-10T09:27:00Z</dcterms:created>
  <dcterms:modified xsi:type="dcterms:W3CDTF">2020-04-10T09:27:00Z</dcterms:modified>
</cp:coreProperties>
</file>